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F11" w:rsidRDefault="00851F11">
      <w:bookmarkStart w:id="0" w:name="_heading=h.gjdgxs" w:colFirst="0" w:colLast="0"/>
      <w:bookmarkEnd w:id="0"/>
    </w:p>
    <w:p w:rsidR="00851F11" w:rsidRDefault="00827891">
      <w:pPr>
        <w:jc w:val="right"/>
        <w:rPr>
          <w:rFonts w:ascii="Open Sans" w:eastAsia="Open Sans" w:hAnsi="Open Sans" w:cs="Open Sans"/>
          <w:b/>
          <w:sz w:val="36"/>
          <w:szCs w:val="36"/>
        </w:rPr>
      </w:pPr>
      <w:r>
        <w:rPr>
          <w:rFonts w:ascii="Open Sans" w:eastAsia="Open Sans" w:hAnsi="Open Sans" w:cs="Open Sans"/>
          <w:b/>
          <w:sz w:val="36"/>
          <w:szCs w:val="36"/>
        </w:rPr>
        <w:t>Čestné prohlášení o složení konsorcia</w:t>
      </w:r>
    </w:p>
    <w:p w:rsidR="00851F11" w:rsidRDefault="00827891">
      <w:pPr>
        <w:jc w:val="right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Č.j. TACR/12-23/2023</w:t>
      </w:r>
    </w:p>
    <w:p w:rsidR="00851F11" w:rsidRDefault="00851F11">
      <w:pPr>
        <w:rPr>
          <w:rFonts w:ascii="Open Sans" w:eastAsia="Open Sans" w:hAnsi="Open Sans" w:cs="Open Sans"/>
          <w:sz w:val="20"/>
          <w:szCs w:val="20"/>
        </w:rPr>
      </w:pPr>
      <w:bookmarkStart w:id="1" w:name="_heading=h.30j0zll" w:colFirst="0" w:colLast="0"/>
      <w:bookmarkEnd w:id="1"/>
    </w:p>
    <w:p w:rsidR="00851F11" w:rsidRDefault="00827891">
      <w:pPr>
        <w:rPr>
          <w:rFonts w:ascii="Open Sans" w:eastAsia="Open Sans" w:hAnsi="Open Sans" w:cs="Open Sans"/>
          <w:b/>
          <w:color w:val="222222"/>
          <w:sz w:val="20"/>
          <w:szCs w:val="20"/>
        </w:rPr>
      </w:pPr>
      <w:r>
        <w:rPr>
          <w:rFonts w:ascii="Open Sans" w:eastAsia="Open Sans" w:hAnsi="Open Sans" w:cs="Open Sans"/>
          <w:b/>
          <w:color w:val="222222"/>
          <w:sz w:val="20"/>
          <w:szCs w:val="20"/>
          <w:highlight w:val="white"/>
        </w:rPr>
        <w:t>Veřejná soutěž/Mezinárodní výzva:</w:t>
      </w:r>
      <w:r>
        <w:rPr>
          <w:rFonts w:ascii="Open Sans" w:eastAsia="Open Sans" w:hAnsi="Open Sans" w:cs="Open Sans"/>
          <w:color w:val="222222"/>
          <w:sz w:val="20"/>
          <w:szCs w:val="20"/>
          <w:highlight w:val="white"/>
        </w:rPr>
        <w:t> </w:t>
      </w:r>
      <w:r>
        <w:rPr>
          <w:rFonts w:ascii="Open Sans" w:eastAsia="Open Sans" w:hAnsi="Open Sans" w:cs="Open Sans"/>
          <w:b/>
          <w:color w:val="222222"/>
          <w:sz w:val="20"/>
          <w:szCs w:val="20"/>
        </w:rPr>
        <w:t>5. veřejná soutěž programu DELTA 2</w:t>
      </w:r>
    </w:p>
    <w:p w:rsidR="00851F11" w:rsidRDefault="00851F11">
      <w:pPr>
        <w:rPr>
          <w:rFonts w:ascii="Open Sans" w:eastAsia="Open Sans" w:hAnsi="Open Sans" w:cs="Open Sans"/>
          <w:b/>
          <w:sz w:val="20"/>
          <w:szCs w:val="20"/>
        </w:rPr>
      </w:pPr>
    </w:p>
    <w:p w:rsidR="00851F11" w:rsidRDefault="00827891">
      <w:pPr>
        <w:numPr>
          <w:ilvl w:val="0"/>
          <w:numId w:val="2"/>
        </w:numPr>
        <w:spacing w:after="0"/>
        <w:ind w:left="283" w:hanging="135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Hlavní uchazeč projektu</w:t>
      </w:r>
    </w:p>
    <w:p w:rsidR="00851F11" w:rsidRDefault="00827891">
      <w:pPr>
        <w:spacing w:before="240"/>
        <w:ind w:left="720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Název uchazeče:</w:t>
      </w:r>
      <w:r w:rsidR="003A7160">
        <w:rPr>
          <w:rFonts w:ascii="Open Sans" w:eastAsia="Open Sans" w:hAnsi="Open Sans" w:cs="Open Sans"/>
          <w:sz w:val="20"/>
          <w:szCs w:val="20"/>
        </w:rPr>
        <w:t xml:space="preserve"> </w:t>
      </w:r>
      <w:r>
        <w:rPr>
          <w:rFonts w:ascii="Open Sans" w:eastAsia="Open Sans" w:hAnsi="Open Sans" w:cs="Open Sans"/>
          <w:sz w:val="20"/>
          <w:szCs w:val="20"/>
          <w:highlight w:val="yellow"/>
        </w:rPr>
        <w:t>…………………………………………</w:t>
      </w:r>
      <w:r>
        <w:rPr>
          <w:rFonts w:ascii="Open Sans" w:eastAsia="Open Sans" w:hAnsi="Open Sans" w:cs="Open Sans"/>
          <w:sz w:val="20"/>
          <w:szCs w:val="20"/>
        </w:rPr>
        <w:t xml:space="preserve"> </w:t>
      </w:r>
    </w:p>
    <w:p w:rsidR="00851F11" w:rsidRDefault="00827891">
      <w:pPr>
        <w:spacing w:before="240"/>
        <w:ind w:left="720"/>
        <w:rPr>
          <w:rFonts w:ascii="Open Sans" w:eastAsia="Open Sans" w:hAnsi="Open Sans" w:cs="Open Sans"/>
          <w:sz w:val="20"/>
          <w:szCs w:val="20"/>
          <w:highlight w:val="yellow"/>
        </w:rPr>
      </w:pPr>
      <w:r>
        <w:rPr>
          <w:rFonts w:ascii="Open Sans" w:eastAsia="Open Sans" w:hAnsi="Open Sans" w:cs="Open Sans"/>
          <w:sz w:val="20"/>
          <w:szCs w:val="20"/>
        </w:rPr>
        <w:t xml:space="preserve">IČO: </w:t>
      </w:r>
      <w:r>
        <w:rPr>
          <w:rFonts w:ascii="Open Sans" w:eastAsia="Open Sans" w:hAnsi="Open Sans" w:cs="Open Sans"/>
          <w:sz w:val="20"/>
          <w:szCs w:val="20"/>
          <w:highlight w:val="yellow"/>
        </w:rPr>
        <w:t>…………………………………………</w:t>
      </w:r>
    </w:p>
    <w:p w:rsidR="00851F11" w:rsidRDefault="00827891">
      <w:pPr>
        <w:spacing w:before="240"/>
        <w:ind w:left="720"/>
        <w:rPr>
          <w:rFonts w:ascii="Open Sans" w:eastAsia="Open Sans" w:hAnsi="Open Sans" w:cs="Open Sans"/>
          <w:sz w:val="20"/>
          <w:szCs w:val="20"/>
          <w:highlight w:val="yellow"/>
        </w:rPr>
      </w:pPr>
      <w:r>
        <w:rPr>
          <w:rFonts w:ascii="Open Sans" w:eastAsia="Open Sans" w:hAnsi="Open Sans" w:cs="Open Sans"/>
          <w:sz w:val="20"/>
          <w:szCs w:val="20"/>
        </w:rPr>
        <w:t>Číslo/akronym</w:t>
      </w:r>
      <w:r>
        <w:rPr>
          <w:rFonts w:ascii="Open Sans" w:eastAsia="Open Sans" w:hAnsi="Open Sans" w:cs="Open Sans"/>
          <w:sz w:val="20"/>
          <w:szCs w:val="20"/>
          <w:vertAlign w:val="superscript"/>
        </w:rPr>
        <w:footnoteReference w:id="1"/>
      </w:r>
      <w:r>
        <w:rPr>
          <w:rFonts w:ascii="Open Sans" w:eastAsia="Open Sans" w:hAnsi="Open Sans" w:cs="Open Sans"/>
          <w:sz w:val="20"/>
          <w:szCs w:val="20"/>
        </w:rPr>
        <w:t xml:space="preserve"> návrhu projektu: </w:t>
      </w:r>
      <w:r>
        <w:rPr>
          <w:rFonts w:ascii="Open Sans" w:eastAsia="Open Sans" w:hAnsi="Open Sans" w:cs="Open Sans"/>
          <w:sz w:val="20"/>
          <w:szCs w:val="20"/>
          <w:highlight w:val="yellow"/>
        </w:rPr>
        <w:t>…………………………………………</w:t>
      </w:r>
      <w:r>
        <w:rPr>
          <w:rFonts w:ascii="Open Sans" w:eastAsia="Open Sans" w:hAnsi="Open Sans" w:cs="Open Sans"/>
          <w:sz w:val="20"/>
          <w:szCs w:val="20"/>
        </w:rPr>
        <w:t xml:space="preserve"> </w:t>
      </w:r>
    </w:p>
    <w:p w:rsidR="00851F11" w:rsidRDefault="00851F11">
      <w:pPr>
        <w:ind w:left="720"/>
        <w:rPr>
          <w:rFonts w:ascii="Open Sans" w:eastAsia="Open Sans" w:hAnsi="Open Sans" w:cs="Open Sans"/>
          <w:sz w:val="20"/>
          <w:szCs w:val="20"/>
        </w:rPr>
      </w:pPr>
    </w:p>
    <w:p w:rsidR="00851F11" w:rsidRDefault="00827891">
      <w:pPr>
        <w:numPr>
          <w:ilvl w:val="0"/>
          <w:numId w:val="2"/>
        </w:numPr>
        <w:spacing w:after="0"/>
        <w:ind w:left="283" w:hanging="135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Čestné prohlášení</w:t>
      </w:r>
      <w:bookmarkStart w:id="3" w:name="_GoBack"/>
      <w:bookmarkEnd w:id="3"/>
    </w:p>
    <w:p w:rsidR="00851F11" w:rsidRDefault="00851F11">
      <w:pPr>
        <w:rPr>
          <w:rFonts w:ascii="Open Sans" w:eastAsia="Open Sans" w:hAnsi="Open Sans" w:cs="Open Sans"/>
          <w:b/>
          <w:sz w:val="20"/>
          <w:szCs w:val="20"/>
        </w:rPr>
      </w:pPr>
      <w:bookmarkStart w:id="4" w:name="_heading=h.3znysh7" w:colFirst="0" w:colLast="0"/>
      <w:bookmarkEnd w:id="4"/>
    </w:p>
    <w:p w:rsidR="00851F11" w:rsidRDefault="00827891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Čestně prohlašuji, že:</w:t>
      </w:r>
    </w:p>
    <w:p w:rsidR="00851F11" w:rsidRDefault="008278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vlastnické a ovládací vztahy mezi uchazeči na české straně a zahraničními partnery ve smyslu definice partnerského a propojeného podniku (ve smyslu přílohy č. I Nařízení Komise (EU) č.</w:t>
      </w:r>
      <w:r>
        <w:rPr>
          <w:rFonts w:ascii="Open Sans" w:eastAsia="Open Sans" w:hAnsi="Open Sans" w:cs="Open Sans"/>
          <w:sz w:val="20"/>
          <w:szCs w:val="20"/>
        </w:rPr>
        <w:t> </w:t>
      </w:r>
      <w:r>
        <w:rPr>
          <w:rFonts w:ascii="Open Sans" w:eastAsia="Open Sans" w:hAnsi="Open Sans" w:cs="Open Sans"/>
          <w:color w:val="000000"/>
          <w:sz w:val="20"/>
          <w:szCs w:val="20"/>
        </w:rPr>
        <w:t>651/2014 z</w:t>
      </w:r>
      <w:r>
        <w:rPr>
          <w:rFonts w:ascii="Open Sans" w:eastAsia="Open Sans" w:hAnsi="Open Sans" w:cs="Open Sans"/>
          <w:color w:val="000000"/>
          <w:sz w:val="20"/>
          <w:szCs w:val="20"/>
        </w:rPr>
        <w:t>e dne 17. června 2014) odpovídají požadavkům uvedeným v podmínkách veřejné soutěže/výzvy.</w:t>
      </w:r>
    </w:p>
    <w:sectPr w:rsidR="00851F11">
      <w:headerReference w:type="default" r:id="rId8"/>
      <w:footerReference w:type="default" r:id="rId9"/>
      <w:pgSz w:w="11906" w:h="16838"/>
      <w:pgMar w:top="1134" w:right="1134" w:bottom="1134" w:left="1134" w:header="2437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891" w:rsidRDefault="00827891">
      <w:pPr>
        <w:spacing w:after="0" w:line="240" w:lineRule="auto"/>
      </w:pPr>
      <w:r>
        <w:separator/>
      </w:r>
    </w:p>
  </w:endnote>
  <w:endnote w:type="continuationSeparator" w:id="0">
    <w:p w:rsidR="00827891" w:rsidRDefault="00827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F11" w:rsidRDefault="00851F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color w:val="000000"/>
        <w:sz w:val="16"/>
        <w:szCs w:val="16"/>
      </w:rPr>
    </w:pPr>
  </w:p>
  <w:p w:rsidR="00851F11" w:rsidRDefault="00851F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color w:val="000000"/>
        <w:sz w:val="16"/>
        <w:szCs w:val="16"/>
      </w:rPr>
    </w:pPr>
  </w:p>
  <w:p w:rsidR="00851F11" w:rsidRDefault="008278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color w:val="000000"/>
        <w:sz w:val="16"/>
        <w:szCs w:val="16"/>
      </w:rPr>
    </w:pP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-723898</wp:posOffset>
          </wp:positionH>
          <wp:positionV relativeFrom="paragraph">
            <wp:posOffset>52338</wp:posOffset>
          </wp:positionV>
          <wp:extent cx="3597506" cy="831600"/>
          <wp:effectExtent l="0" t="0" r="0" b="0"/>
          <wp:wrapSquare wrapText="bothSides" distT="0" distB="0" distL="0" distR="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7506" cy="831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51F11" w:rsidRDefault="00851F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color w:val="000000"/>
        <w:sz w:val="16"/>
        <w:szCs w:val="16"/>
      </w:rPr>
    </w:pPr>
  </w:p>
  <w:p w:rsidR="00851F11" w:rsidRDefault="008278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Open Sans" w:eastAsia="Open Sans" w:hAnsi="Open Sans" w:cs="Open Sans"/>
        <w:color w:val="000000"/>
        <w:sz w:val="16"/>
        <w:szCs w:val="16"/>
      </w:rPr>
    </w:pPr>
    <w:r>
      <w:rPr>
        <w:rFonts w:ascii="Open Sans" w:eastAsia="Open Sans" w:hAnsi="Open Sans" w:cs="Open Sans"/>
        <w:color w:val="000000"/>
        <w:sz w:val="16"/>
        <w:szCs w:val="16"/>
      </w:rPr>
      <w:t xml:space="preserve">Strana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PAGE</w:instrText>
    </w:r>
    <w:r w:rsidR="003A7160"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3A7160">
      <w:rPr>
        <w:rFonts w:ascii="Open Sans" w:eastAsia="Open Sans" w:hAnsi="Open Sans" w:cs="Open Sans"/>
        <w:noProof/>
        <w:color w:val="000000"/>
        <w:sz w:val="16"/>
        <w:szCs w:val="16"/>
      </w:rPr>
      <w:t>1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891" w:rsidRDefault="00827891">
      <w:pPr>
        <w:spacing w:after="0" w:line="240" w:lineRule="auto"/>
      </w:pPr>
      <w:r>
        <w:separator/>
      </w:r>
    </w:p>
  </w:footnote>
  <w:footnote w:type="continuationSeparator" w:id="0">
    <w:p w:rsidR="00827891" w:rsidRDefault="00827891">
      <w:pPr>
        <w:spacing w:after="0" w:line="240" w:lineRule="auto"/>
      </w:pPr>
      <w:r>
        <w:continuationSeparator/>
      </w:r>
    </w:p>
  </w:footnote>
  <w:footnote w:id="1">
    <w:p w:rsidR="00851F11" w:rsidRDefault="00827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pen Sans" w:eastAsia="Open Sans" w:hAnsi="Open Sans" w:cs="Open Sans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vertAlign w:val="superscript"/>
        </w:rPr>
        <w:footnoteRef/>
      </w:r>
      <w:r>
        <w:rPr>
          <w:rFonts w:ascii="Open Sans" w:eastAsia="Open Sans" w:hAnsi="Open Sans" w:cs="Open Sans"/>
          <w:color w:val="000000"/>
          <w:sz w:val="18"/>
          <w:szCs w:val="18"/>
        </w:rPr>
        <w:t xml:space="preserve"> V mezinárodní výzvě vyplňte akronym mezinárodního návrhu projektu, ve veřejné soutěži vyplňte číslo návrhu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F11" w:rsidRDefault="008278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-723894</wp:posOffset>
          </wp:positionH>
          <wp:positionV relativeFrom="paragraph">
            <wp:posOffset>-1548124</wp:posOffset>
          </wp:positionV>
          <wp:extent cx="1440000" cy="1440000"/>
          <wp:effectExtent l="0" t="0" r="0" b="0"/>
          <wp:wrapSquare wrapText="bothSides" distT="0" distB="0" distL="0" distR="0"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E510A"/>
    <w:multiLevelType w:val="multilevel"/>
    <w:tmpl w:val="5860F7A6"/>
    <w:lvl w:ilvl="0">
      <w:start w:val="1"/>
      <w:numFmt w:val="upperRoman"/>
      <w:lvlText w:val="%1."/>
      <w:lvlJc w:val="right"/>
      <w:pPr>
        <w:ind w:left="141" w:hanging="141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D34415B"/>
    <w:multiLevelType w:val="multilevel"/>
    <w:tmpl w:val="228A5982"/>
    <w:lvl w:ilvl="0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F11"/>
    <w:rsid w:val="003A7160"/>
    <w:rsid w:val="00827891"/>
    <w:rsid w:val="0085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AA546"/>
  <w15:docId w15:val="{2C4FB866-BE76-44BF-BD07-94D4C423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2774B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E098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E098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E098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E5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51CC"/>
  </w:style>
  <w:style w:type="paragraph" w:styleId="Zpat">
    <w:name w:val="footer"/>
    <w:basedOn w:val="Normln"/>
    <w:link w:val="ZpatChar"/>
    <w:uiPriority w:val="99"/>
    <w:unhideWhenUsed/>
    <w:rsid w:val="008E5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5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NrCl0VO5WnmoqZ6ZdDreA9AaKRQ==">AMUW2mUsrvbts/Z8nmBLQNXJaZ0/WqaivSakI0ZHJfe9iH6glEV2DQYJWD0YlbbqbAH6YnCSVsZsL1d+Sg8NPeRBUpZxF50yaVkVccgp3z3549sU+bLojFY0EU5b2mFSSs/zX9uPNk6zy9KawE5SRtNqJlxnzM9OmCKkCPw5UHiJYZNjnVWseB0=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504</Characters>
  <Application>Microsoft Office Word</Application>
  <DocSecurity>0</DocSecurity>
  <Lines>4</Lines>
  <Paragraphs>1</Paragraphs>
  <ScaleCrop>false</ScaleCrop>
  <Company>Technologická agentura ČR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Zápařková</dc:creator>
  <cp:lastModifiedBy>Denisa Šašková</cp:lastModifiedBy>
  <cp:revision>2</cp:revision>
  <dcterms:created xsi:type="dcterms:W3CDTF">2021-04-23T08:03:00Z</dcterms:created>
  <dcterms:modified xsi:type="dcterms:W3CDTF">2023-05-11T13:39:00Z</dcterms:modified>
</cp:coreProperties>
</file>